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BF7" w:rsidRPr="002F4D41" w:rsidRDefault="002F4D41" w:rsidP="006A18D1">
      <w:pPr>
        <w:jc w:val="both"/>
        <w:rPr>
          <w:b/>
        </w:rPr>
      </w:pPr>
      <w:r w:rsidRPr="002F4D41">
        <w:rPr>
          <w:b/>
        </w:rPr>
        <w:t>Flex R</w:t>
      </w:r>
      <w:r w:rsidR="00310BF7" w:rsidRPr="002F4D41">
        <w:rPr>
          <w:b/>
        </w:rPr>
        <w:t>eflection 3</w:t>
      </w:r>
    </w:p>
    <w:p w:rsidR="000537B6" w:rsidRPr="006A18D1" w:rsidRDefault="00C92E0B" w:rsidP="006A18D1">
      <w:pPr>
        <w:jc w:val="both"/>
      </w:pPr>
      <w:r w:rsidRPr="006A18D1">
        <w:t xml:space="preserve">This reflection is about the need for inclusivity in education.  Earlier this year I had a job interview for the </w:t>
      </w:r>
      <w:r w:rsidR="00310BF7" w:rsidRPr="006A18D1">
        <w:t>University for a Permanent Position</w:t>
      </w:r>
      <w:r w:rsidRPr="006A18D1">
        <w:t xml:space="preserve"> and in order to prepare for this I </w:t>
      </w:r>
      <w:r w:rsidR="00A80799" w:rsidRPr="006A18D1">
        <w:t>read</w:t>
      </w:r>
      <w:r w:rsidRPr="006A18D1">
        <w:t xml:space="preserve"> MMU’s education strategy</w:t>
      </w:r>
      <w:r w:rsidR="003A6076" w:rsidRPr="006A18D1">
        <w:t xml:space="preserve">.  </w:t>
      </w:r>
      <w:r w:rsidR="00EB12AB" w:rsidRPr="006A18D1">
        <w:t xml:space="preserve">The education strategy emphasises the need to ensure that </w:t>
      </w:r>
      <w:r w:rsidR="003A6076" w:rsidRPr="006A18D1">
        <w:t>to make lectures and teaching sessions as inclusive as possible  in order to ensure that students learning needs were met in the best possible way</w:t>
      </w:r>
      <w:r w:rsidRPr="006A18D1">
        <w:t xml:space="preserve">  </w:t>
      </w:r>
      <w:r w:rsidR="000537B6" w:rsidRPr="006A18D1">
        <w:t xml:space="preserve">It is important for me to have as a wide as possible definition of diversity; Hockings (2010) states </w:t>
      </w:r>
    </w:p>
    <w:p w:rsidR="000537B6" w:rsidRPr="006A18D1" w:rsidRDefault="000537B6" w:rsidP="006A18D1">
      <w:pPr>
        <w:jc w:val="both"/>
        <w:rPr>
          <w:rFonts w:cs="Arial"/>
        </w:rPr>
      </w:pPr>
      <w:r w:rsidRPr="006A18D1">
        <w:rPr>
          <w:rFonts w:cs="Arial"/>
        </w:rPr>
        <w:t>‘</w:t>
      </w:r>
      <w:r w:rsidR="00310BF7" w:rsidRPr="006A18D1">
        <w:rPr>
          <w:rFonts w:cs="Arial"/>
        </w:rPr>
        <w:t>Diversity</w:t>
      </w:r>
      <w:r w:rsidRPr="006A18D1">
        <w:rPr>
          <w:rFonts w:cs="Arial"/>
        </w:rPr>
        <w:t xml:space="preserve">’ is used by some to refer more specifically to groups of students traditionally under-represented in </w:t>
      </w:r>
      <w:proofErr w:type="gramStart"/>
      <w:r w:rsidRPr="006A18D1">
        <w:rPr>
          <w:rFonts w:cs="Arial"/>
        </w:rPr>
        <w:t>HE</w:t>
      </w:r>
      <w:proofErr w:type="gramEnd"/>
      <w:r w:rsidRPr="006A18D1">
        <w:rPr>
          <w:rFonts w:cs="Arial"/>
        </w:rPr>
        <w:t>, the so-called ‘non-traditional’ or ‘widening participation’ students. These include working class, mature and some ethnic minority students, often with no history of hig</w:t>
      </w:r>
      <w:r w:rsidR="00A80799" w:rsidRPr="006A18D1">
        <w:rPr>
          <w:rFonts w:cs="Arial"/>
        </w:rPr>
        <w:t>her education in their families’ (2010:</w:t>
      </w:r>
      <w:r w:rsidR="002F4D41">
        <w:rPr>
          <w:rFonts w:cs="Arial"/>
        </w:rPr>
        <w:t>2)</w:t>
      </w:r>
    </w:p>
    <w:p w:rsidR="000537B6" w:rsidRPr="006A18D1" w:rsidRDefault="00C92E0B" w:rsidP="006A18D1">
      <w:pPr>
        <w:jc w:val="both"/>
      </w:pPr>
      <w:r w:rsidRPr="006A18D1">
        <w:t>This is</w:t>
      </w:r>
      <w:r w:rsidR="000537B6" w:rsidRPr="006A18D1">
        <w:t xml:space="preserve"> of particular</w:t>
      </w:r>
      <w:r w:rsidRPr="006A18D1">
        <w:t xml:space="preserve"> import</w:t>
      </w:r>
      <w:r w:rsidR="000537B6" w:rsidRPr="006A18D1">
        <w:t>ance</w:t>
      </w:r>
      <w:r w:rsidRPr="006A18D1">
        <w:t xml:space="preserve"> for the social work degree programs as students are often from diverse </w:t>
      </w:r>
      <w:r w:rsidR="000537B6" w:rsidRPr="006A18D1">
        <w:t>socio cultural, ethnic and class backgrounds as well as educational backgrounds and</w:t>
      </w:r>
      <w:r w:rsidR="00B30D42" w:rsidRPr="006A18D1">
        <w:t>,</w:t>
      </w:r>
      <w:r w:rsidR="000537B6" w:rsidRPr="006A18D1">
        <w:t xml:space="preserve"> given this</w:t>
      </w:r>
      <w:r w:rsidR="00B30D42" w:rsidRPr="006A18D1">
        <w:t>,</w:t>
      </w:r>
      <w:r w:rsidR="000537B6" w:rsidRPr="006A18D1">
        <w:t xml:space="preserve"> it is vital that students aren’t excluded from learning because of their background or experience.  Williams (1967) writes of education’</w:t>
      </w:r>
      <w:r w:rsidR="00A80799" w:rsidRPr="006A18D1">
        <w:t xml:space="preserve">s general </w:t>
      </w:r>
      <w:r w:rsidR="000537B6" w:rsidRPr="006A18D1">
        <w:t xml:space="preserve">ability to exclude </w:t>
      </w:r>
      <w:proofErr w:type="gramStart"/>
      <w:r w:rsidR="000537B6" w:rsidRPr="006A18D1">
        <w:t xml:space="preserve">on the </w:t>
      </w:r>
      <w:r w:rsidR="00B30D42" w:rsidRPr="006A18D1">
        <w:t>basis</w:t>
      </w:r>
      <w:r w:rsidR="000537B6" w:rsidRPr="006A18D1">
        <w:t xml:space="preserve"> of</w:t>
      </w:r>
      <w:proofErr w:type="gramEnd"/>
      <w:r w:rsidR="000537B6" w:rsidRPr="006A18D1">
        <w:t xml:space="preserve"> intellectual ability and its </w:t>
      </w:r>
      <w:r w:rsidR="00B30D42" w:rsidRPr="006A18D1">
        <w:t>subsequent perpetuation</w:t>
      </w:r>
      <w:r w:rsidR="000537B6" w:rsidRPr="006A18D1">
        <w:t xml:space="preserve"> class </w:t>
      </w:r>
      <w:r w:rsidR="00310BF7" w:rsidRPr="006A18D1">
        <w:t>inequality,</w:t>
      </w:r>
      <w:r w:rsidR="00B30D42" w:rsidRPr="006A18D1">
        <w:t xml:space="preserve"> and </w:t>
      </w:r>
      <w:r w:rsidR="00F562A4" w:rsidRPr="006A18D1">
        <w:t xml:space="preserve">there are clear issues with encouraging people from diverse </w:t>
      </w:r>
      <w:r w:rsidR="00A80799" w:rsidRPr="006A18D1">
        <w:t xml:space="preserve">backgrounds to go to university. </w:t>
      </w:r>
      <w:r w:rsidR="00F562A4" w:rsidRPr="006A18D1">
        <w:t xml:space="preserve"> </w:t>
      </w:r>
      <w:r w:rsidR="003C616F">
        <w:rPr>
          <w:rFonts w:cs="Arial"/>
          <w:color w:val="333333"/>
          <w:lang w:val="en"/>
        </w:rPr>
        <w:t>Forsyth and Furlong</w:t>
      </w:r>
      <w:r w:rsidR="00F562A4" w:rsidRPr="006A18D1">
        <w:rPr>
          <w:rFonts w:cs="Arial"/>
          <w:color w:val="333333"/>
          <w:lang w:val="en"/>
        </w:rPr>
        <w:t xml:space="preserve"> (2003) found that students whose parents attended university were more likely to attend themselves, and students from disadvantaged backgrounds were less likely to have parents who had attended university.</w:t>
      </w:r>
      <w:r w:rsidR="00F562A4" w:rsidRPr="006A18D1">
        <w:rPr>
          <w:rFonts w:cs="Arial"/>
          <w:color w:val="333333"/>
          <w:lang w:val="en"/>
        </w:rPr>
        <w:t xml:space="preserve">  Whilst I did not believe that if students were from a working class background </w:t>
      </w:r>
      <w:r w:rsidR="00310BF7" w:rsidRPr="006A18D1">
        <w:rPr>
          <w:rFonts w:cs="Arial"/>
          <w:color w:val="333333"/>
          <w:lang w:val="en"/>
        </w:rPr>
        <w:t xml:space="preserve">or a background that was </w:t>
      </w:r>
      <w:r w:rsidR="00A80799" w:rsidRPr="006A18D1">
        <w:rPr>
          <w:rFonts w:cs="Arial"/>
          <w:color w:val="333333"/>
          <w:lang w:val="en"/>
        </w:rPr>
        <w:t>unrepresented in HE</w:t>
      </w:r>
      <w:r w:rsidR="00310BF7" w:rsidRPr="006A18D1">
        <w:rPr>
          <w:rFonts w:cs="Arial"/>
          <w:color w:val="333333"/>
          <w:lang w:val="en"/>
        </w:rPr>
        <w:t xml:space="preserve"> would be less able to learn from a </w:t>
      </w:r>
      <w:proofErr w:type="gramStart"/>
      <w:r w:rsidR="00310BF7" w:rsidRPr="006A18D1">
        <w:rPr>
          <w:rFonts w:cs="Arial"/>
          <w:color w:val="333333"/>
          <w:lang w:val="en"/>
        </w:rPr>
        <w:t>lecture</w:t>
      </w:r>
      <w:proofErr w:type="gramEnd"/>
      <w:r w:rsidR="00310BF7" w:rsidRPr="006A18D1">
        <w:rPr>
          <w:rFonts w:cs="Arial"/>
          <w:color w:val="333333"/>
          <w:lang w:val="en"/>
        </w:rPr>
        <w:t xml:space="preserve"> </w:t>
      </w:r>
      <w:r w:rsidR="00310BF7" w:rsidRPr="006A18D1">
        <w:t>it has</w:t>
      </w:r>
      <w:r w:rsidR="00B30D42" w:rsidRPr="006A18D1">
        <w:t xml:space="preserve"> seemed to me essential to </w:t>
      </w:r>
      <w:r w:rsidR="00F562A4" w:rsidRPr="006A18D1">
        <w:t xml:space="preserve">account for the fact that I would have a group of students who had </w:t>
      </w:r>
      <w:r w:rsidR="00310BF7" w:rsidRPr="006A18D1">
        <w:t>previously</w:t>
      </w:r>
      <w:r w:rsidR="00F562A4" w:rsidRPr="006A18D1">
        <w:t xml:space="preserve"> diverse experiences of education</w:t>
      </w:r>
      <w:r w:rsidR="00310BF7" w:rsidRPr="006A18D1">
        <w:t xml:space="preserve"> and learning</w:t>
      </w:r>
      <w:r w:rsidR="00F562A4" w:rsidRPr="006A18D1">
        <w:t xml:space="preserve">. </w:t>
      </w:r>
    </w:p>
    <w:p w:rsidR="000537B6" w:rsidRPr="006A18D1" w:rsidRDefault="00B30D42" w:rsidP="006A18D1">
      <w:pPr>
        <w:jc w:val="both"/>
        <w:rPr>
          <w:rFonts w:cs="Arial"/>
          <w:color w:val="333333"/>
          <w:lang w:val="en"/>
        </w:rPr>
      </w:pPr>
      <w:r w:rsidRPr="006A18D1">
        <w:t xml:space="preserve">In order to promote inclusivity as part of my teaching I felt it </w:t>
      </w:r>
      <w:r w:rsidR="00310BF7" w:rsidRPr="006A18D1">
        <w:t>could</w:t>
      </w:r>
      <w:r w:rsidRPr="006A18D1">
        <w:t xml:space="preserve"> be helpful to move away from sessions that </w:t>
      </w:r>
      <w:proofErr w:type="gramStart"/>
      <w:r w:rsidRPr="006A18D1">
        <w:t>are only based</w:t>
      </w:r>
      <w:proofErr w:type="gramEnd"/>
      <w:r w:rsidRPr="006A18D1">
        <w:t xml:space="preserve"> around lectures.  As French and Kennedy (2016) indicate, the lecture can be a beneficial way of delivering </w:t>
      </w:r>
      <w:proofErr w:type="gramStart"/>
      <w:r w:rsidRPr="006A18D1">
        <w:t>learning ,</w:t>
      </w:r>
      <w:proofErr w:type="gramEnd"/>
      <w:r w:rsidRPr="006A18D1">
        <w:t xml:space="preserve"> in allowing teachers to provide a sustained narrative and to help develop skills such as active listening</w:t>
      </w:r>
      <w:r w:rsidR="00202CA3" w:rsidRPr="006A18D1">
        <w:t xml:space="preserve">. </w:t>
      </w:r>
      <w:r w:rsidRPr="006A18D1">
        <w:t xml:space="preserve"> </w:t>
      </w:r>
      <w:r w:rsidR="00202CA3" w:rsidRPr="006A18D1">
        <w:t xml:space="preserve">Conversely, </w:t>
      </w:r>
      <w:r w:rsidRPr="006A18D1">
        <w:t>there is</w:t>
      </w:r>
      <w:r w:rsidR="00202CA3" w:rsidRPr="006A18D1">
        <w:t>,</w:t>
      </w:r>
      <w:r w:rsidRPr="006A18D1">
        <w:t xml:space="preserve"> ‘</w:t>
      </w:r>
      <w:r w:rsidRPr="006A18D1">
        <w:rPr>
          <w:rFonts w:cs="Arial"/>
          <w:color w:val="333333"/>
          <w:lang w:val="en"/>
        </w:rPr>
        <w:t>There is strong support in educational literature that students develop their understanding of concepts and best retain knowledge by engaging with so-called ‘active learning’ methods that include problem solving and critical thinking</w:t>
      </w:r>
      <w:r w:rsidR="00F562A4" w:rsidRPr="006A18D1">
        <w:rPr>
          <w:rFonts w:cs="Arial"/>
          <w:color w:val="333333"/>
          <w:lang w:val="en"/>
        </w:rPr>
        <w:t>.</w:t>
      </w:r>
      <w:r w:rsidRPr="006A18D1">
        <w:rPr>
          <w:rFonts w:cs="Arial"/>
          <w:color w:val="333333"/>
          <w:lang w:val="en"/>
        </w:rPr>
        <w:t xml:space="preserve">’ (2016:10) </w:t>
      </w:r>
      <w:r w:rsidR="00F562A4" w:rsidRPr="006A18D1">
        <w:rPr>
          <w:rFonts w:cs="Arial"/>
          <w:color w:val="333333"/>
          <w:lang w:val="en"/>
        </w:rPr>
        <w:t xml:space="preserve"> My own </w:t>
      </w:r>
      <w:r w:rsidR="006A18D1" w:rsidRPr="006A18D1">
        <w:rPr>
          <w:rFonts w:cs="Arial"/>
          <w:color w:val="333333"/>
          <w:lang w:val="en"/>
        </w:rPr>
        <w:t>reflection</w:t>
      </w:r>
      <w:r w:rsidR="00F562A4" w:rsidRPr="006A18D1">
        <w:rPr>
          <w:rFonts w:cs="Arial"/>
          <w:color w:val="333333"/>
          <w:lang w:val="en"/>
        </w:rPr>
        <w:t xml:space="preserve">, based on my initial year of lecturing, is that students have a better learning experience when there is a range of learning opportunities in each session.  </w:t>
      </w:r>
      <w:r w:rsidR="00202CA3" w:rsidRPr="006A18D1">
        <w:rPr>
          <w:rFonts w:cs="Arial"/>
          <w:color w:val="333333"/>
          <w:lang w:val="en"/>
        </w:rPr>
        <w:t xml:space="preserve">I have observed students being less able to concentrate for lengthy lecture based sessions and when I have sought feedback from students it has been apparent that some students gain from there being a variety of learning opportunities in each session. </w:t>
      </w:r>
    </w:p>
    <w:p w:rsidR="00310BF7" w:rsidRPr="002F4D41" w:rsidRDefault="00310BF7" w:rsidP="006A18D1">
      <w:pPr>
        <w:jc w:val="both"/>
        <w:rPr>
          <w:rFonts w:cs="Arial"/>
          <w:b/>
          <w:color w:val="333333"/>
          <w:lang w:val="en"/>
        </w:rPr>
      </w:pPr>
      <w:r w:rsidRPr="002F4D41">
        <w:rPr>
          <w:rFonts w:cs="Arial"/>
          <w:b/>
          <w:color w:val="333333"/>
          <w:lang w:val="en"/>
        </w:rPr>
        <w:t>Analysis</w:t>
      </w:r>
    </w:p>
    <w:p w:rsidR="00060FE4" w:rsidRPr="006A18D1" w:rsidRDefault="00F562A4" w:rsidP="006A18D1">
      <w:pPr>
        <w:jc w:val="both"/>
      </w:pPr>
      <w:r w:rsidRPr="006A18D1">
        <w:rPr>
          <w:rFonts w:cs="Arial"/>
          <w:color w:val="333333"/>
          <w:lang w:val="en"/>
        </w:rPr>
        <w:t xml:space="preserve">I was to deliver a session about </w:t>
      </w:r>
      <w:r w:rsidR="00202CA3" w:rsidRPr="006A18D1">
        <w:rPr>
          <w:rFonts w:cs="Arial"/>
          <w:color w:val="333333"/>
          <w:lang w:val="en"/>
        </w:rPr>
        <w:t xml:space="preserve">what social justice is with students from my BA1 group.  In addition to a short introductory lecture </w:t>
      </w:r>
      <w:r w:rsidR="006A18D1">
        <w:rPr>
          <w:rFonts w:cs="Arial"/>
          <w:color w:val="333333"/>
          <w:lang w:val="en"/>
        </w:rPr>
        <w:t xml:space="preserve">to the </w:t>
      </w:r>
      <w:proofErr w:type="gramStart"/>
      <w:r w:rsidR="006A18D1">
        <w:rPr>
          <w:rFonts w:cs="Arial"/>
          <w:color w:val="333333"/>
          <w:lang w:val="en"/>
        </w:rPr>
        <w:t>session</w:t>
      </w:r>
      <w:proofErr w:type="gramEnd"/>
      <w:r w:rsidR="006A18D1">
        <w:rPr>
          <w:rFonts w:cs="Arial"/>
          <w:color w:val="333333"/>
          <w:lang w:val="en"/>
        </w:rPr>
        <w:t xml:space="preserve"> </w:t>
      </w:r>
      <w:r w:rsidR="00202CA3" w:rsidRPr="006A18D1">
        <w:rPr>
          <w:rFonts w:cs="Arial"/>
          <w:color w:val="333333"/>
          <w:lang w:val="en"/>
        </w:rPr>
        <w:t>I asked students to bring in an object</w:t>
      </w:r>
      <w:r w:rsidR="006A18D1">
        <w:rPr>
          <w:rFonts w:cs="Arial"/>
          <w:color w:val="333333"/>
          <w:lang w:val="en"/>
        </w:rPr>
        <w:t xml:space="preserve">, </w:t>
      </w:r>
      <w:r w:rsidR="00202CA3" w:rsidRPr="006A18D1">
        <w:rPr>
          <w:rFonts w:cs="Arial"/>
          <w:color w:val="333333"/>
          <w:lang w:val="en"/>
        </w:rPr>
        <w:t>that represented social justice for them</w:t>
      </w:r>
      <w:r w:rsidR="002F4D41">
        <w:rPr>
          <w:rFonts w:cs="Arial"/>
          <w:color w:val="333333"/>
          <w:lang w:val="en"/>
        </w:rPr>
        <w:t xml:space="preserve">. </w:t>
      </w:r>
      <w:bookmarkStart w:id="0" w:name="_GoBack"/>
      <w:bookmarkEnd w:id="0"/>
      <w:r w:rsidR="00202CA3" w:rsidRPr="006A18D1">
        <w:t>Schultz (2012) states “interaction with artefacts deepens students’ learning”</w:t>
      </w:r>
      <w:r w:rsidR="003C616F">
        <w:t>(2012:66)</w:t>
      </w:r>
      <w:r w:rsidR="00060FE4" w:rsidRPr="006A18D1">
        <w:t xml:space="preserve"> Students were invited to share their object with the person sat next to them, write down why they felt that their object represented social justice and then pass the post it to someone random in the group who would then share it with the group.  The reason for this last part of the exercise was to </w:t>
      </w:r>
      <w:r w:rsidR="00657C74" w:rsidRPr="006A18D1">
        <w:t xml:space="preserve">maximise the potential for student </w:t>
      </w:r>
      <w:proofErr w:type="gramStart"/>
      <w:r w:rsidR="00657C74" w:rsidRPr="006A18D1">
        <w:t xml:space="preserve">participation </w:t>
      </w:r>
      <w:r w:rsidR="00310BF7" w:rsidRPr="006A18D1">
        <w:t xml:space="preserve"> as</w:t>
      </w:r>
      <w:proofErr w:type="gramEnd"/>
      <w:r w:rsidR="00310BF7" w:rsidRPr="006A18D1">
        <w:t xml:space="preserve"> students would feel free to read out what was on their post it</w:t>
      </w:r>
      <w:r w:rsidR="006A18D1">
        <w:t xml:space="preserve"> note.  </w:t>
      </w:r>
      <w:r w:rsidR="00060FE4" w:rsidRPr="006A18D1">
        <w:t xml:space="preserve">  </w:t>
      </w:r>
    </w:p>
    <w:p w:rsidR="00EB12AB" w:rsidRPr="006A18D1" w:rsidRDefault="00EB12AB" w:rsidP="006A18D1">
      <w:pPr>
        <w:jc w:val="both"/>
      </w:pPr>
    </w:p>
    <w:p w:rsidR="00EB12AB" w:rsidRPr="002F4D41" w:rsidRDefault="00EB12AB" w:rsidP="002F4D41">
      <w:pPr>
        <w:spacing w:before="100" w:beforeAutospacing="1" w:after="100" w:afterAutospacing="1" w:line="240" w:lineRule="auto"/>
        <w:rPr>
          <w:rFonts w:eastAsia="Times New Roman" w:cs="Times New Roman"/>
          <w:lang w:eastAsia="en-GB"/>
        </w:rPr>
      </w:pPr>
      <w:r w:rsidRPr="006A18D1">
        <w:lastRenderedPageBreak/>
        <w:t xml:space="preserve">Whilst I cannot objectively prove that this session met </w:t>
      </w:r>
      <w:r w:rsidRPr="006A18D1">
        <w:rPr>
          <w:i/>
        </w:rPr>
        <w:t>all</w:t>
      </w:r>
      <w:r w:rsidRPr="006A18D1">
        <w:t xml:space="preserve"> the needs of a diverse set of </w:t>
      </w:r>
      <w:r w:rsidR="006A18D1" w:rsidRPr="006A18D1">
        <w:t>students,</w:t>
      </w:r>
      <w:r w:rsidRPr="006A18D1">
        <w:t xml:space="preserve"> what was clearly observable was that this session worked extremely well.  All students were extremely engaged with the task, </w:t>
      </w:r>
      <w:r w:rsidR="006A18D1">
        <w:t xml:space="preserve">as I went around the group there was a good deal of conversation about the objects, students were enjoying the discussion and the exercise </w:t>
      </w:r>
      <w:r w:rsidRPr="006A18D1">
        <w:t xml:space="preserve">and all had bought </w:t>
      </w:r>
      <w:r w:rsidR="00310BF7" w:rsidRPr="006A18D1">
        <w:t>relevant</w:t>
      </w:r>
      <w:r w:rsidRPr="006A18D1">
        <w:t xml:space="preserve"> and in some cases extremely powerful </w:t>
      </w:r>
      <w:r w:rsidR="00310BF7" w:rsidRPr="006A18D1">
        <w:t>examples</w:t>
      </w:r>
      <w:r w:rsidRPr="006A18D1">
        <w:t xml:space="preserve">.  </w:t>
      </w:r>
      <w:r w:rsidR="006A18D1">
        <w:t>For example, t</w:t>
      </w:r>
      <w:r w:rsidRPr="006A18D1">
        <w:t xml:space="preserve">he student who bought a swimming </w:t>
      </w:r>
      <w:r w:rsidR="00310BF7" w:rsidRPr="006A18D1">
        <w:t>costume</w:t>
      </w:r>
      <w:r w:rsidRPr="006A18D1">
        <w:t xml:space="preserve"> to illustrate how children from financially poorer backgrounds </w:t>
      </w:r>
      <w:proofErr w:type="gramStart"/>
      <w:r w:rsidRPr="006A18D1">
        <w:t>are discriminated against</w:t>
      </w:r>
      <w:r w:rsidR="006A18D1">
        <w:t>,</w:t>
      </w:r>
      <w:proofErr w:type="gramEnd"/>
      <w:r w:rsidRPr="006A18D1">
        <w:t xml:space="preserve"> by the ending of free out of school swimming lessons </w:t>
      </w:r>
      <w:r w:rsidR="006A18D1">
        <w:t xml:space="preserve">and how equality and child safety can be promoted via provision of free swimming </w:t>
      </w:r>
      <w:r w:rsidRPr="006A18D1">
        <w:t xml:space="preserve">will stay with me for a long time to come.  When I sought student feedback at the end of the session via the use of the </w:t>
      </w:r>
      <w:proofErr w:type="gramStart"/>
      <w:r w:rsidRPr="006A18D1">
        <w:t>one minute</w:t>
      </w:r>
      <w:proofErr w:type="gramEnd"/>
      <w:r w:rsidRPr="006A18D1">
        <w:t xml:space="preserve"> paper </w:t>
      </w:r>
      <w:r w:rsidR="006A18D1">
        <w:t>(</w:t>
      </w:r>
      <w:r w:rsidR="002F4D41" w:rsidRPr="002F4D41">
        <w:rPr>
          <w:rStyle w:val="ref-overlay2"/>
          <w:rFonts w:eastAsia="Times New Roman" w:cs="Times New Roman"/>
          <w:shd w:val="clear" w:color="auto" w:fill="auto"/>
          <w:lang w:eastAsia="en-GB"/>
        </w:rPr>
        <w:t>https://www.celt.mmu.ac.uk/lectures/try_oneminute.php</w:t>
      </w:r>
      <w:r w:rsidR="006A18D1">
        <w:t xml:space="preserve">) </w:t>
      </w:r>
      <w:r w:rsidRPr="006A18D1">
        <w:t xml:space="preserve">the students stated how much an impact this part of the session had had on them.  </w:t>
      </w:r>
    </w:p>
    <w:p w:rsidR="00310BF7" w:rsidRPr="006A18D1" w:rsidRDefault="00310BF7" w:rsidP="006A18D1">
      <w:pPr>
        <w:jc w:val="both"/>
      </w:pPr>
    </w:p>
    <w:p w:rsidR="00F562A4" w:rsidRPr="003C616F" w:rsidRDefault="00310BF7" w:rsidP="006A18D1">
      <w:pPr>
        <w:jc w:val="both"/>
        <w:rPr>
          <w:b/>
        </w:rPr>
      </w:pPr>
      <w:r w:rsidRPr="003C616F">
        <w:rPr>
          <w:b/>
        </w:rPr>
        <w:t xml:space="preserve">Action Plan </w:t>
      </w:r>
    </w:p>
    <w:p w:rsidR="00310BF7" w:rsidRPr="006A18D1" w:rsidRDefault="003C616F" w:rsidP="006A18D1">
      <w:pPr>
        <w:jc w:val="both"/>
      </w:pPr>
      <w:r>
        <w:t xml:space="preserve">The plan for </w:t>
      </w:r>
      <w:r w:rsidR="00310BF7" w:rsidRPr="006A18D1">
        <w:t xml:space="preserve">as I continue as a teacher is to try </w:t>
      </w:r>
      <w:proofErr w:type="gramStart"/>
      <w:r w:rsidR="00310BF7" w:rsidRPr="006A18D1">
        <w:t>and</w:t>
      </w:r>
      <w:proofErr w:type="gramEnd"/>
      <w:r w:rsidR="00310BF7" w:rsidRPr="006A18D1">
        <w:t xml:space="preserve"> ensure that the sessions that I deliver meet the needs of the diverse set of learners that I am likely to encounter.  The techniques that I use should take into account the differences in educational background and other factors that are likely to have an influence on this such as </w:t>
      </w:r>
      <w:r w:rsidR="00E236F7" w:rsidRPr="006A18D1">
        <w:t>class</w:t>
      </w:r>
      <w:r w:rsidR="00310BF7" w:rsidRPr="006A18D1">
        <w:t xml:space="preserve">, race and gender.  One of the ways in which I hope to be able to do this is to devise sessions that encompass different approaches such as object based learning.  </w:t>
      </w:r>
    </w:p>
    <w:p w:rsidR="00310BF7" w:rsidRPr="006A18D1" w:rsidRDefault="00310BF7" w:rsidP="006A18D1">
      <w:pPr>
        <w:jc w:val="both"/>
      </w:pPr>
    </w:p>
    <w:p w:rsidR="00310BF7" w:rsidRPr="003C616F" w:rsidRDefault="00E236F7" w:rsidP="006A18D1">
      <w:pPr>
        <w:jc w:val="both"/>
        <w:rPr>
          <w:rFonts w:cs="Arial"/>
          <w:b/>
          <w:color w:val="333333"/>
          <w:lang w:val="en"/>
        </w:rPr>
      </w:pPr>
      <w:r w:rsidRPr="003C616F">
        <w:rPr>
          <w:rFonts w:cs="Arial"/>
          <w:b/>
          <w:color w:val="333333"/>
          <w:lang w:val="en"/>
        </w:rPr>
        <w:t>Bibliography</w:t>
      </w:r>
    </w:p>
    <w:p w:rsidR="00755518" w:rsidRPr="003C616F" w:rsidRDefault="00755518" w:rsidP="006A18D1">
      <w:pPr>
        <w:jc w:val="both"/>
        <w:rPr>
          <w:rStyle w:val="pagerange"/>
          <w:rFonts w:cs="Arial"/>
          <w:color w:val="333333"/>
          <w:lang w:val="en"/>
        </w:rPr>
      </w:pPr>
      <w:r w:rsidRPr="003C616F">
        <w:rPr>
          <w:rStyle w:val="authors5"/>
          <w:rFonts w:cs="Arial"/>
          <w:color w:val="333333"/>
          <w:lang w:val="en"/>
        </w:rPr>
        <w:t xml:space="preserve">Cooke, R, </w:t>
      </w:r>
      <w:proofErr w:type="spellStart"/>
      <w:r w:rsidRPr="003C616F">
        <w:rPr>
          <w:rStyle w:val="authors5"/>
          <w:rFonts w:cs="Arial"/>
          <w:color w:val="333333"/>
          <w:lang w:val="en"/>
        </w:rPr>
        <w:t>Barkham</w:t>
      </w:r>
      <w:proofErr w:type="spellEnd"/>
      <w:r w:rsidRPr="003C616F">
        <w:rPr>
          <w:rStyle w:val="authors5"/>
          <w:rFonts w:cs="Arial"/>
          <w:color w:val="333333"/>
          <w:lang w:val="en"/>
        </w:rPr>
        <w:t xml:space="preserve">, M, </w:t>
      </w:r>
      <w:proofErr w:type="spellStart"/>
      <w:r w:rsidRPr="003C616F">
        <w:rPr>
          <w:rStyle w:val="authors5"/>
          <w:rFonts w:cs="Arial"/>
          <w:color w:val="333333"/>
          <w:lang w:val="en"/>
        </w:rPr>
        <w:t>Audin</w:t>
      </w:r>
      <w:proofErr w:type="spellEnd"/>
      <w:r w:rsidRPr="003C616F">
        <w:rPr>
          <w:rStyle w:val="authors5"/>
          <w:rFonts w:cs="Arial"/>
          <w:color w:val="333333"/>
          <w:lang w:val="en"/>
        </w:rPr>
        <w:t>, K&amp; Bradley, M</w:t>
      </w:r>
      <w:r w:rsidRPr="003C616F">
        <w:rPr>
          <w:rFonts w:cs="Arial"/>
          <w:color w:val="333333"/>
          <w:lang w:val="en"/>
        </w:rPr>
        <w:t xml:space="preserve"> </w:t>
      </w:r>
      <w:r w:rsidRPr="003C616F">
        <w:rPr>
          <w:rStyle w:val="date"/>
          <w:rFonts w:cs="Arial"/>
          <w:color w:val="333333"/>
          <w:lang w:val="en"/>
        </w:rPr>
        <w:t>(2004)</w:t>
      </w:r>
      <w:r w:rsidRPr="003C616F">
        <w:rPr>
          <w:rFonts w:cs="Arial"/>
          <w:color w:val="333333"/>
          <w:lang w:val="en"/>
        </w:rPr>
        <w:t xml:space="preserve"> </w:t>
      </w:r>
      <w:r w:rsidRPr="003C616F">
        <w:rPr>
          <w:rStyle w:val="arttitle4"/>
          <w:rFonts w:cs="Arial"/>
          <w:color w:val="333333"/>
          <w:lang w:val="en"/>
        </w:rPr>
        <w:t>How Social Class Differences Affect Students' Experience of University,</w:t>
      </w:r>
      <w:r w:rsidRPr="003C616F">
        <w:rPr>
          <w:rFonts w:cs="Arial"/>
          <w:color w:val="333333"/>
          <w:lang w:val="en"/>
        </w:rPr>
        <w:t xml:space="preserve"> </w:t>
      </w:r>
      <w:r w:rsidRPr="003C616F">
        <w:rPr>
          <w:rStyle w:val="serialtitle"/>
          <w:rFonts w:cs="Arial"/>
          <w:color w:val="333333"/>
          <w:lang w:val="en"/>
        </w:rPr>
        <w:t>Journal of Further and Higher Education,</w:t>
      </w:r>
      <w:r w:rsidRPr="003C616F">
        <w:rPr>
          <w:rFonts w:cs="Arial"/>
          <w:color w:val="333333"/>
          <w:lang w:val="en"/>
        </w:rPr>
        <w:t xml:space="preserve"> </w:t>
      </w:r>
      <w:r w:rsidRPr="003C616F">
        <w:rPr>
          <w:rStyle w:val="volumeissue"/>
          <w:rFonts w:cs="Arial"/>
          <w:color w:val="333333"/>
          <w:lang w:val="en"/>
        </w:rPr>
        <w:t>28:4,</w:t>
      </w:r>
      <w:r w:rsidRPr="003C616F">
        <w:rPr>
          <w:rFonts w:cs="Arial"/>
          <w:color w:val="333333"/>
          <w:lang w:val="en"/>
        </w:rPr>
        <w:t xml:space="preserve"> </w:t>
      </w:r>
      <w:r w:rsidR="003C616F" w:rsidRPr="003C616F">
        <w:rPr>
          <w:rStyle w:val="pagerange"/>
          <w:rFonts w:cs="Arial"/>
          <w:color w:val="333333"/>
          <w:lang w:val="en"/>
        </w:rPr>
        <w:t>407-421</w:t>
      </w:r>
    </w:p>
    <w:p w:rsidR="003C616F" w:rsidRPr="003C616F" w:rsidRDefault="003C616F" w:rsidP="006A18D1">
      <w:pPr>
        <w:jc w:val="both"/>
        <w:rPr>
          <w:rFonts w:cs="Arial"/>
          <w:color w:val="333333"/>
          <w:shd w:val="clear" w:color="auto" w:fill="FFFFFF"/>
          <w:lang w:val="en"/>
        </w:rPr>
      </w:pPr>
      <w:r w:rsidRPr="003C616F">
        <w:t xml:space="preserve">French, S and Kennedy, G (2017) </w:t>
      </w:r>
      <w:r w:rsidRPr="003C616F">
        <w:rPr>
          <w:rStyle w:val="arttitle4"/>
          <w:rFonts w:cs="Arial"/>
          <w:color w:val="333333"/>
          <w:lang w:val="en"/>
        </w:rPr>
        <w:t>Reassessing the value of university lectures,</w:t>
      </w:r>
      <w:r w:rsidRPr="003C616F">
        <w:rPr>
          <w:rFonts w:cs="Arial"/>
          <w:color w:val="333333"/>
          <w:lang w:val="en"/>
        </w:rPr>
        <w:t xml:space="preserve"> </w:t>
      </w:r>
      <w:r w:rsidRPr="003C616F">
        <w:rPr>
          <w:rStyle w:val="serialtitle"/>
          <w:rFonts w:cs="Arial"/>
          <w:i/>
          <w:color w:val="333333"/>
          <w:lang w:val="en"/>
        </w:rPr>
        <w:t>Teaching in Higher Education</w:t>
      </w:r>
      <w:proofErr w:type="gramStart"/>
      <w:r w:rsidRPr="003C616F">
        <w:rPr>
          <w:rStyle w:val="serialtitle"/>
          <w:rFonts w:cs="Arial"/>
          <w:color w:val="333333"/>
          <w:lang w:val="en"/>
        </w:rPr>
        <w:t>,</w:t>
      </w:r>
      <w:r w:rsidRPr="003C616F">
        <w:rPr>
          <w:rStyle w:val="volumeissue"/>
          <w:rFonts w:cs="Arial"/>
          <w:color w:val="333333"/>
          <w:lang w:val="en"/>
        </w:rPr>
        <w:t>22:6,</w:t>
      </w:r>
      <w:r w:rsidRPr="003C616F">
        <w:rPr>
          <w:rFonts w:cs="Arial"/>
          <w:color w:val="333333"/>
          <w:lang w:val="en"/>
        </w:rPr>
        <w:t>p.</w:t>
      </w:r>
      <w:r w:rsidRPr="003C616F">
        <w:rPr>
          <w:rStyle w:val="pagerange"/>
          <w:rFonts w:cs="Arial"/>
          <w:color w:val="333333"/>
          <w:lang w:val="en"/>
        </w:rPr>
        <w:t>639</w:t>
      </w:r>
      <w:proofErr w:type="gramEnd"/>
      <w:r w:rsidRPr="003C616F">
        <w:rPr>
          <w:rStyle w:val="pagerange"/>
          <w:rFonts w:cs="Arial"/>
          <w:color w:val="333333"/>
          <w:lang w:val="en"/>
        </w:rPr>
        <w:t>-654,</w:t>
      </w:r>
    </w:p>
    <w:p w:rsidR="00EB12AB" w:rsidRDefault="00755518" w:rsidP="006A18D1">
      <w:pPr>
        <w:jc w:val="both"/>
        <w:rPr>
          <w:rStyle w:val="ref-overlay2"/>
          <w:rFonts w:cs="Arial"/>
          <w:color w:val="333333"/>
          <w:lang w:val="en"/>
        </w:rPr>
      </w:pPr>
      <w:r w:rsidRPr="003C616F">
        <w:rPr>
          <w:rStyle w:val="nlmyear"/>
          <w:rFonts w:cs="Arial"/>
          <w:color w:val="333333"/>
          <w:shd w:val="clear" w:color="auto" w:fill="FFFFFF"/>
          <w:lang w:val="en"/>
        </w:rPr>
        <w:t xml:space="preserve">Forsyth, A &amp; Furlong, </w:t>
      </w:r>
      <w:proofErr w:type="gramStart"/>
      <w:r w:rsidRPr="003C616F">
        <w:rPr>
          <w:rStyle w:val="nlmyear"/>
          <w:rFonts w:cs="Arial"/>
          <w:color w:val="333333"/>
          <w:shd w:val="clear" w:color="auto" w:fill="FFFFFF"/>
          <w:lang w:val="en"/>
        </w:rPr>
        <w:t>A</w:t>
      </w:r>
      <w:proofErr w:type="gramEnd"/>
      <w:r w:rsidRPr="003C616F">
        <w:rPr>
          <w:rStyle w:val="nlmyear"/>
          <w:rFonts w:cs="Arial"/>
          <w:color w:val="333333"/>
          <w:shd w:val="clear" w:color="auto" w:fill="FFFFFF"/>
          <w:lang w:val="en"/>
        </w:rPr>
        <w:t xml:space="preserve"> (</w:t>
      </w:r>
      <w:r w:rsidR="00EB12AB" w:rsidRPr="003C616F">
        <w:rPr>
          <w:rStyle w:val="nlmyear"/>
          <w:rFonts w:cs="Arial"/>
          <w:color w:val="333333"/>
          <w:shd w:val="clear" w:color="auto" w:fill="FFFFFF"/>
          <w:lang w:val="en"/>
        </w:rPr>
        <w:t>2003</w:t>
      </w:r>
      <w:r w:rsidRPr="003C616F">
        <w:rPr>
          <w:rStyle w:val="nlmyear"/>
          <w:rFonts w:cs="Arial"/>
          <w:color w:val="333333"/>
          <w:shd w:val="clear" w:color="auto" w:fill="FFFFFF"/>
          <w:lang w:val="en"/>
        </w:rPr>
        <w:t>)</w:t>
      </w:r>
      <w:r w:rsidR="00EB12AB" w:rsidRPr="003C616F">
        <w:rPr>
          <w:rStyle w:val="ref-overlay2"/>
          <w:rFonts w:cs="Arial"/>
          <w:color w:val="333333"/>
          <w:lang w:val="en"/>
        </w:rPr>
        <w:t xml:space="preserve">. </w:t>
      </w:r>
      <w:r w:rsidR="00EB12AB" w:rsidRPr="003C616F">
        <w:rPr>
          <w:rStyle w:val="ref-overlay2"/>
          <w:rFonts w:cs="Arial"/>
          <w:i/>
          <w:iCs/>
          <w:color w:val="333333"/>
          <w:lang w:val="en"/>
        </w:rPr>
        <w:t>Access to higher education and disadvantaged young people, British Educational Research Journal</w:t>
      </w:r>
      <w:r w:rsidR="00EB12AB" w:rsidRPr="003C616F">
        <w:rPr>
          <w:rStyle w:val="ref-overlay2"/>
          <w:rFonts w:cs="Arial"/>
          <w:color w:val="333333"/>
          <w:lang w:val="en"/>
        </w:rPr>
        <w:t xml:space="preserve">, 29: </w:t>
      </w:r>
      <w:r w:rsidR="00EB12AB" w:rsidRPr="003C616F">
        <w:rPr>
          <w:rStyle w:val="nlmfpage"/>
          <w:rFonts w:cs="Arial"/>
          <w:color w:val="333333"/>
          <w:shd w:val="clear" w:color="auto" w:fill="FFFFFF"/>
          <w:lang w:val="en"/>
        </w:rPr>
        <w:t>205</w:t>
      </w:r>
      <w:r w:rsidR="00EB12AB" w:rsidRPr="003C616F">
        <w:rPr>
          <w:rStyle w:val="ref-overlay2"/>
          <w:rFonts w:cs="Arial"/>
          <w:color w:val="333333"/>
          <w:lang w:val="en"/>
        </w:rPr>
        <w:t>–</w:t>
      </w:r>
      <w:r w:rsidR="00EB12AB" w:rsidRPr="003C616F">
        <w:rPr>
          <w:rStyle w:val="nlmlpage"/>
          <w:rFonts w:cs="Arial"/>
          <w:color w:val="333333"/>
          <w:shd w:val="clear" w:color="auto" w:fill="FFFFFF"/>
          <w:lang w:val="en"/>
        </w:rPr>
        <w:t>225</w:t>
      </w:r>
      <w:r w:rsidR="00EB12AB" w:rsidRPr="003C616F">
        <w:rPr>
          <w:rStyle w:val="ref-overlay2"/>
          <w:rFonts w:cs="Arial"/>
          <w:color w:val="333333"/>
          <w:lang w:val="en"/>
        </w:rPr>
        <w:t>.</w:t>
      </w:r>
    </w:p>
    <w:p w:rsidR="003C616F" w:rsidRDefault="003C616F" w:rsidP="002F4D41">
      <w:pPr>
        <w:spacing w:before="100" w:beforeAutospacing="1" w:after="100" w:afterAutospacing="1" w:line="240" w:lineRule="auto"/>
        <w:rPr>
          <w:rFonts w:eastAsia="Times New Roman" w:cs="Times New Roman"/>
          <w:lang w:eastAsia="en-GB"/>
        </w:rPr>
      </w:pPr>
      <w:r w:rsidRPr="002D0578">
        <w:rPr>
          <w:rFonts w:eastAsia="Times New Roman" w:cs="Times New Roman"/>
          <w:lang w:eastAsia="en-GB"/>
        </w:rPr>
        <w:t xml:space="preserve">Hockings, C. (2010) </w:t>
      </w:r>
      <w:hyperlink r:id="rId4" w:history="1">
        <w:r w:rsidRPr="000D4C89">
          <w:rPr>
            <w:rFonts w:eastAsia="Times New Roman" w:cs="Times New Roman"/>
            <w:i/>
            <w:iCs/>
            <w:color w:val="0000FF"/>
            <w:u w:val="single"/>
            <w:lang w:eastAsia="en-GB"/>
          </w:rPr>
          <w:t>Inclusive learning and teaching in higher education: a synthesis of research</w:t>
        </w:r>
      </w:hyperlink>
      <w:r w:rsidRPr="002D0578">
        <w:rPr>
          <w:rFonts w:eastAsia="Times New Roman" w:cs="Times New Roman"/>
          <w:i/>
          <w:iCs/>
          <w:lang w:eastAsia="en-GB"/>
        </w:rPr>
        <w:t>.</w:t>
      </w:r>
      <w:r w:rsidRPr="002D0578">
        <w:rPr>
          <w:rFonts w:eastAsia="Times New Roman" w:cs="Times New Roman"/>
          <w:lang w:eastAsia="en-GB"/>
        </w:rPr>
        <w:t xml:space="preserve"> York: Higher Education Academy. </w:t>
      </w:r>
    </w:p>
    <w:p w:rsidR="002F4D41" w:rsidRDefault="002F4D41" w:rsidP="002F4D41">
      <w:pPr>
        <w:spacing w:before="100" w:beforeAutospacing="1" w:after="100" w:afterAutospacing="1" w:line="240" w:lineRule="auto"/>
        <w:rPr>
          <w:rFonts w:eastAsia="Times New Roman" w:cs="Times New Roman"/>
          <w:lang w:eastAsia="en-GB"/>
        </w:rPr>
      </w:pPr>
      <w:r>
        <w:rPr>
          <w:rFonts w:eastAsia="Times New Roman" w:cs="Times New Roman"/>
          <w:lang w:eastAsia="en-GB"/>
        </w:rPr>
        <w:t xml:space="preserve">MMU (2017) Education Strategy accessed online 10/01/19 </w:t>
      </w:r>
      <w:hyperlink r:id="rId5" w:history="1">
        <w:r w:rsidRPr="00B57C1E">
          <w:rPr>
            <w:rStyle w:val="Hyperlink"/>
            <w:rFonts w:eastAsia="Times New Roman" w:cs="Times New Roman"/>
            <w:lang w:eastAsia="en-GB"/>
          </w:rPr>
          <w:t>https://www2.mmu.ac.uk/education-strategy/</w:t>
        </w:r>
      </w:hyperlink>
    </w:p>
    <w:p w:rsidR="00EB12AB" w:rsidRPr="003C616F" w:rsidRDefault="00EB12AB" w:rsidP="006A18D1">
      <w:pPr>
        <w:pStyle w:val="Default"/>
        <w:jc w:val="both"/>
        <w:rPr>
          <w:rFonts w:asciiTheme="minorHAnsi" w:hAnsiTheme="minorHAnsi"/>
          <w:sz w:val="22"/>
          <w:szCs w:val="22"/>
        </w:rPr>
      </w:pPr>
      <w:r w:rsidRPr="003C616F">
        <w:rPr>
          <w:rFonts w:asciiTheme="minorHAnsi" w:hAnsiTheme="minorHAnsi"/>
          <w:sz w:val="22"/>
          <w:szCs w:val="22"/>
        </w:rPr>
        <w:t xml:space="preserve">Schultz, D. (2012) </w:t>
      </w:r>
      <w:r w:rsidRPr="003C616F">
        <w:rPr>
          <w:rFonts w:asciiTheme="minorHAnsi" w:hAnsiTheme="minorHAnsi"/>
          <w:i/>
          <w:sz w:val="22"/>
          <w:szCs w:val="22"/>
        </w:rPr>
        <w:t>T</w:t>
      </w:r>
      <w:r w:rsidR="00755518" w:rsidRPr="003C616F">
        <w:rPr>
          <w:rFonts w:asciiTheme="minorHAnsi" w:hAnsiTheme="minorHAnsi"/>
          <w:i/>
          <w:sz w:val="22"/>
          <w:szCs w:val="22"/>
        </w:rPr>
        <w:t>hree-Dimensional Learning: Exploring Responses to Learning and Interacting With A</w:t>
      </w:r>
      <w:r w:rsidRPr="003C616F">
        <w:rPr>
          <w:rFonts w:asciiTheme="minorHAnsi" w:hAnsiTheme="minorHAnsi"/>
          <w:i/>
          <w:sz w:val="22"/>
          <w:szCs w:val="22"/>
        </w:rPr>
        <w:t>rtefacts.</w:t>
      </w:r>
      <w:r w:rsidRPr="003C616F">
        <w:rPr>
          <w:rFonts w:asciiTheme="minorHAnsi" w:hAnsiTheme="minorHAnsi"/>
          <w:sz w:val="22"/>
          <w:szCs w:val="22"/>
        </w:rPr>
        <w:t xml:space="preserve"> In: Jandl, S.S. and Gold M.S. (eds.) </w:t>
      </w:r>
      <w:r w:rsidRPr="003C616F">
        <w:rPr>
          <w:rFonts w:asciiTheme="minorHAnsi" w:hAnsiTheme="minorHAnsi"/>
          <w:i/>
          <w:iCs/>
          <w:sz w:val="22"/>
          <w:szCs w:val="22"/>
        </w:rPr>
        <w:t>A handbook for academic museums, exhibitions and educators</w:t>
      </w:r>
      <w:r w:rsidRPr="003C616F">
        <w:rPr>
          <w:rFonts w:asciiTheme="minorHAnsi" w:hAnsiTheme="minorHAnsi"/>
          <w:sz w:val="22"/>
          <w:szCs w:val="22"/>
        </w:rPr>
        <w:t xml:space="preserve">. Edinburgh: MuseumsEtc, pp. 166-89. In </w:t>
      </w:r>
    </w:p>
    <w:p w:rsidR="00EB12AB" w:rsidRPr="003C616F" w:rsidRDefault="00EB12AB" w:rsidP="00755518">
      <w:pPr>
        <w:pStyle w:val="Default"/>
        <w:jc w:val="both"/>
        <w:rPr>
          <w:rFonts w:asciiTheme="minorHAnsi" w:hAnsiTheme="minorHAnsi"/>
          <w:sz w:val="22"/>
          <w:szCs w:val="22"/>
        </w:rPr>
      </w:pPr>
      <w:r w:rsidRPr="003C616F">
        <w:rPr>
          <w:rFonts w:asciiTheme="minorHAnsi" w:hAnsiTheme="minorHAnsi"/>
          <w:sz w:val="22"/>
          <w:szCs w:val="22"/>
        </w:rPr>
        <w:t xml:space="preserve"> </w:t>
      </w:r>
      <w:r w:rsidRPr="003C616F">
        <w:rPr>
          <w:rFonts w:asciiTheme="minorHAnsi" w:hAnsiTheme="minorHAnsi"/>
          <w:bCs/>
          <w:sz w:val="22"/>
          <w:szCs w:val="22"/>
        </w:rPr>
        <w:t xml:space="preserve">Innovative pedagogies series: Wow: The power of objects in object-based learning and teaching </w:t>
      </w:r>
      <w:r w:rsidRPr="003C616F">
        <w:rPr>
          <w:rFonts w:asciiTheme="minorHAnsi" w:hAnsiTheme="minorHAnsi" w:cs="Open Sans"/>
          <w:sz w:val="22"/>
          <w:szCs w:val="22"/>
        </w:rPr>
        <w:t xml:space="preserve">Dr Kirsten </w:t>
      </w:r>
      <w:proofErr w:type="spellStart"/>
      <w:r w:rsidRPr="003C616F">
        <w:rPr>
          <w:rFonts w:asciiTheme="minorHAnsi" w:hAnsiTheme="minorHAnsi" w:cs="Open Sans"/>
          <w:sz w:val="22"/>
          <w:szCs w:val="22"/>
        </w:rPr>
        <w:t>Hardie</w:t>
      </w:r>
      <w:proofErr w:type="spellEnd"/>
      <w:r w:rsidRPr="003C616F">
        <w:rPr>
          <w:rFonts w:asciiTheme="minorHAnsi" w:hAnsiTheme="minorHAnsi" w:cs="Open Sans"/>
          <w:sz w:val="22"/>
          <w:szCs w:val="22"/>
        </w:rPr>
        <w:t xml:space="preserve">, accessed online </w:t>
      </w:r>
      <w:hyperlink r:id="rId6" w:history="1">
        <w:r w:rsidRPr="003C616F">
          <w:rPr>
            <w:rStyle w:val="Hyperlink"/>
            <w:rFonts w:asciiTheme="minorHAnsi" w:hAnsiTheme="minorHAnsi" w:cs="Open Sans"/>
            <w:sz w:val="22"/>
            <w:szCs w:val="22"/>
          </w:rPr>
          <w:t>https://www.heacademy.ac.uk/system/files/kirsten_hardie_final.pdf</w:t>
        </w:r>
      </w:hyperlink>
    </w:p>
    <w:p w:rsidR="006A18D1" w:rsidRPr="003C616F" w:rsidRDefault="006A18D1" w:rsidP="006A18D1">
      <w:pPr>
        <w:jc w:val="both"/>
      </w:pPr>
      <w:hyperlink r:id="rId7" w:history="1">
        <w:r w:rsidRPr="003C616F">
          <w:rPr>
            <w:rStyle w:val="Hyperlink"/>
          </w:rPr>
          <w:t>http://www.celt.mmu.ac.uk/lectures/creative_teaching.php</w:t>
        </w:r>
      </w:hyperlink>
    </w:p>
    <w:p w:rsidR="006A18D1" w:rsidRPr="003C616F" w:rsidRDefault="006A18D1" w:rsidP="006A18D1">
      <w:pPr>
        <w:jc w:val="both"/>
      </w:pPr>
      <w:r w:rsidRPr="003C616F">
        <w:t xml:space="preserve">Williams, R </w:t>
      </w:r>
      <w:r w:rsidR="00E236F7" w:rsidRPr="003C616F">
        <w:t xml:space="preserve">(1967) </w:t>
      </w:r>
      <w:proofErr w:type="gramStart"/>
      <w:r w:rsidRPr="003C616F">
        <w:rPr>
          <w:i/>
        </w:rPr>
        <w:t>The</w:t>
      </w:r>
      <w:proofErr w:type="gramEnd"/>
      <w:r w:rsidRPr="003C616F">
        <w:rPr>
          <w:i/>
        </w:rPr>
        <w:t xml:space="preserve"> Long Revolution</w:t>
      </w:r>
      <w:r w:rsidRPr="003C616F">
        <w:t xml:space="preserve"> Pelican London</w:t>
      </w:r>
    </w:p>
    <w:p w:rsidR="000537B6" w:rsidRPr="006A18D1" w:rsidRDefault="000537B6" w:rsidP="006A18D1">
      <w:pPr>
        <w:jc w:val="both"/>
      </w:pPr>
      <w:r w:rsidRPr="006A18D1">
        <w:t xml:space="preserve"> </w:t>
      </w:r>
    </w:p>
    <w:sectPr w:rsidR="000537B6" w:rsidRPr="006A18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___WRD_EMBED_SUB_39">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pen Sans">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3A3"/>
    <w:rsid w:val="000537B6"/>
    <w:rsid w:val="00060FE4"/>
    <w:rsid w:val="00202CA3"/>
    <w:rsid w:val="002F4D41"/>
    <w:rsid w:val="00310BF7"/>
    <w:rsid w:val="00337555"/>
    <w:rsid w:val="003A6076"/>
    <w:rsid w:val="003C616F"/>
    <w:rsid w:val="00482E0A"/>
    <w:rsid w:val="00657C74"/>
    <w:rsid w:val="006A18D1"/>
    <w:rsid w:val="00755518"/>
    <w:rsid w:val="008473A3"/>
    <w:rsid w:val="00A80799"/>
    <w:rsid w:val="00B30D42"/>
    <w:rsid w:val="00C92E0B"/>
    <w:rsid w:val="00E236F7"/>
    <w:rsid w:val="00EB12AB"/>
    <w:rsid w:val="00ED2207"/>
    <w:rsid w:val="00F562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075A51-43C4-4E7E-B3AC-B191BBEE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0D42"/>
    <w:rPr>
      <w:strike w:val="0"/>
      <w:dstrike w:val="0"/>
      <w:color w:val="10147E"/>
      <w:u w:val="none"/>
      <w:effect w:val="none"/>
      <w:shd w:val="clear" w:color="auto" w:fill="auto"/>
    </w:rPr>
  </w:style>
  <w:style w:type="character" w:customStyle="1" w:styleId="ref-lnk">
    <w:name w:val="ref-lnk"/>
    <w:basedOn w:val="DefaultParagraphFont"/>
    <w:rsid w:val="00B30D42"/>
  </w:style>
  <w:style w:type="character" w:customStyle="1" w:styleId="ref-overlay2">
    <w:name w:val="ref-overlay2"/>
    <w:basedOn w:val="DefaultParagraphFont"/>
    <w:rsid w:val="00B30D42"/>
    <w:rPr>
      <w:shd w:val="clear" w:color="auto" w:fill="FFFFFF"/>
    </w:rPr>
  </w:style>
  <w:style w:type="character" w:customStyle="1" w:styleId="hlfld-contribauthor">
    <w:name w:val="hlfld-contribauthor"/>
    <w:basedOn w:val="DefaultParagraphFont"/>
    <w:rsid w:val="00B30D42"/>
  </w:style>
  <w:style w:type="character" w:customStyle="1" w:styleId="nlmgiven-names">
    <w:name w:val="nlm_given-names"/>
    <w:basedOn w:val="DefaultParagraphFont"/>
    <w:rsid w:val="00B30D42"/>
  </w:style>
  <w:style w:type="character" w:customStyle="1" w:styleId="nlmyear">
    <w:name w:val="nlm_year"/>
    <w:basedOn w:val="DefaultParagraphFont"/>
    <w:rsid w:val="00B30D42"/>
  </w:style>
  <w:style w:type="character" w:customStyle="1" w:styleId="nlmpublisher-loc">
    <w:name w:val="nlm_publisher-loc"/>
    <w:basedOn w:val="DefaultParagraphFont"/>
    <w:rsid w:val="00B30D42"/>
  </w:style>
  <w:style w:type="character" w:customStyle="1" w:styleId="nlmpublisher-name">
    <w:name w:val="nlm_publisher-name"/>
    <w:basedOn w:val="DefaultParagraphFont"/>
    <w:rsid w:val="00B30D42"/>
  </w:style>
  <w:style w:type="character" w:customStyle="1" w:styleId="ref-links2">
    <w:name w:val="ref-links2"/>
    <w:basedOn w:val="DefaultParagraphFont"/>
    <w:rsid w:val="00B30D42"/>
  </w:style>
  <w:style w:type="character" w:customStyle="1" w:styleId="xlinks-container">
    <w:name w:val="xlinks-container"/>
    <w:basedOn w:val="DefaultParagraphFont"/>
    <w:rsid w:val="00B30D42"/>
  </w:style>
  <w:style w:type="character" w:customStyle="1" w:styleId="googlescholar-container">
    <w:name w:val="googlescholar-container"/>
    <w:basedOn w:val="DefaultParagraphFont"/>
    <w:rsid w:val="00B30D42"/>
  </w:style>
  <w:style w:type="character" w:customStyle="1" w:styleId="nlmarticle-title">
    <w:name w:val="nlm_article-title"/>
    <w:basedOn w:val="DefaultParagraphFont"/>
    <w:rsid w:val="00B30D42"/>
  </w:style>
  <w:style w:type="character" w:customStyle="1" w:styleId="nlmfpage">
    <w:name w:val="nlm_fpage"/>
    <w:basedOn w:val="DefaultParagraphFont"/>
    <w:rsid w:val="00B30D42"/>
  </w:style>
  <w:style w:type="character" w:customStyle="1" w:styleId="nlmlpage">
    <w:name w:val="nlm_lpage"/>
    <w:basedOn w:val="DefaultParagraphFont"/>
    <w:rsid w:val="00B30D42"/>
  </w:style>
  <w:style w:type="character" w:customStyle="1" w:styleId="nlmpub-id">
    <w:name w:val="nlm_pub-id"/>
    <w:basedOn w:val="DefaultParagraphFont"/>
    <w:rsid w:val="00B30D42"/>
  </w:style>
  <w:style w:type="paragraph" w:customStyle="1" w:styleId="Default">
    <w:name w:val="Default"/>
    <w:rsid w:val="00060FE4"/>
    <w:pPr>
      <w:autoSpaceDE w:val="0"/>
      <w:autoSpaceDN w:val="0"/>
      <w:adjustRightInd w:val="0"/>
      <w:spacing w:after="0" w:line="240" w:lineRule="auto"/>
    </w:pPr>
    <w:rPr>
      <w:rFonts w:ascii="___WRD_EMBED_SUB_39" w:hAnsi="___WRD_EMBED_SUB_39" w:cs="___WRD_EMBED_SUB_39"/>
      <w:color w:val="000000"/>
      <w:sz w:val="24"/>
      <w:szCs w:val="24"/>
    </w:rPr>
  </w:style>
  <w:style w:type="character" w:customStyle="1" w:styleId="authors5">
    <w:name w:val="authors5"/>
    <w:basedOn w:val="DefaultParagraphFont"/>
    <w:rsid w:val="00E236F7"/>
  </w:style>
  <w:style w:type="character" w:customStyle="1" w:styleId="date">
    <w:name w:val="date"/>
    <w:basedOn w:val="DefaultParagraphFont"/>
    <w:rsid w:val="00E236F7"/>
  </w:style>
  <w:style w:type="character" w:customStyle="1" w:styleId="arttitle4">
    <w:name w:val="art_title4"/>
    <w:basedOn w:val="DefaultParagraphFont"/>
    <w:rsid w:val="00E236F7"/>
  </w:style>
  <w:style w:type="character" w:customStyle="1" w:styleId="serialtitle">
    <w:name w:val="serial_title"/>
    <w:basedOn w:val="DefaultParagraphFont"/>
    <w:rsid w:val="00E236F7"/>
  </w:style>
  <w:style w:type="character" w:customStyle="1" w:styleId="volumeissue">
    <w:name w:val="volume_issue"/>
    <w:basedOn w:val="DefaultParagraphFont"/>
    <w:rsid w:val="00E236F7"/>
  </w:style>
  <w:style w:type="character" w:customStyle="1" w:styleId="pagerange">
    <w:name w:val="page_range"/>
    <w:basedOn w:val="DefaultParagraphFont"/>
    <w:rsid w:val="00E236F7"/>
  </w:style>
  <w:style w:type="character" w:customStyle="1" w:styleId="doilink">
    <w:name w:val="doi_link"/>
    <w:basedOn w:val="DefaultParagraphFont"/>
    <w:rsid w:val="00755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elt.mmu.ac.uk/lectures/creative_teaching.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eacademy.ac.uk/system/files/kirsten_hardie_final.pdf" TargetMode="External"/><Relationship Id="rId5" Type="http://schemas.openxmlformats.org/officeDocument/2006/relationships/hyperlink" Target="https://www2.mmu.ac.uk/education-strategy/" TargetMode="External"/><Relationship Id="rId4" Type="http://schemas.openxmlformats.org/officeDocument/2006/relationships/hyperlink" Target="https://www.heacademy.ac.uk/sites/default/files/inclusive_teaching_and_learning_in_he_synthesis_200410_0.pdf"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1025</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Withers</dc:creator>
  <cp:keywords/>
  <dc:description/>
  <cp:lastModifiedBy>Alex Withers</cp:lastModifiedBy>
  <cp:revision>2</cp:revision>
  <dcterms:created xsi:type="dcterms:W3CDTF">2019-01-10T10:53:00Z</dcterms:created>
  <dcterms:modified xsi:type="dcterms:W3CDTF">2019-01-10T10:53:00Z</dcterms:modified>
</cp:coreProperties>
</file>